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7F0DF6" w:rsidP="00B94B95">
      <w:pPr>
        <w:ind w:left="567" w:right="567"/>
        <w:jc w:val="center"/>
        <w:rPr>
          <w:b/>
        </w:rPr>
      </w:pPr>
      <w:r>
        <w:rPr>
          <w:b/>
        </w:rPr>
        <w:t>Base aérienne</w:t>
      </w:r>
      <w:r w:rsidR="00B94B95">
        <w:rPr>
          <w:b/>
        </w:rPr>
        <w:t xml:space="preserve"> 278</w:t>
      </w:r>
      <w:bookmarkStart w:id="0" w:name="_GoBack"/>
      <w:bookmarkEnd w:id="0"/>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w:t>
      </w:r>
      <w:r w:rsidR="004779CD">
        <w:rPr>
          <w:b/>
        </w:rPr>
        <w:t>8</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FB7BD2" w:rsidRPr="003D6794" w:rsidRDefault="007621C1" w:rsidP="00FB7BD2">
      <w:pPr>
        <w:pStyle w:val="Titre10"/>
        <w:jc w:val="both"/>
        <w:rPr>
          <w:rFonts w:eastAsia="Times New Roman" w:cs="Arial"/>
          <w:iCs/>
          <w:sz w:val="20"/>
          <w:szCs w:val="20"/>
        </w:rPr>
      </w:pPr>
      <w:r>
        <w:rPr>
          <w:rFonts w:eastAsia="Times New Roman" w:cs="Arial"/>
          <w:b/>
          <w:iCs/>
          <w:sz w:val="20"/>
          <w:szCs w:val="20"/>
        </w:rPr>
        <w:t>Liste 5206-2025-</w:t>
      </w:r>
      <w:r w:rsidR="001C2A4D">
        <w:rPr>
          <w:rFonts w:eastAsia="Times New Roman" w:cs="Arial"/>
          <w:b/>
          <w:iCs/>
          <w:sz w:val="20"/>
          <w:szCs w:val="20"/>
        </w:rPr>
        <w:t>0</w:t>
      </w:r>
      <w:r w:rsidR="006E6681">
        <w:rPr>
          <w:rFonts w:eastAsia="Times New Roman" w:cs="Arial"/>
          <w:b/>
          <w:iCs/>
          <w:sz w:val="20"/>
          <w:szCs w:val="20"/>
        </w:rPr>
        <w:t>7</w:t>
      </w:r>
      <w:r>
        <w:rPr>
          <w:rFonts w:eastAsia="Times New Roman" w:cs="Arial"/>
          <w:b/>
          <w:iCs/>
          <w:sz w:val="20"/>
          <w:szCs w:val="20"/>
        </w:rPr>
        <w:t xml:space="preserve"> du </w:t>
      </w:r>
      <w:r w:rsidR="001C2A4D">
        <w:rPr>
          <w:rFonts w:eastAsia="Times New Roman" w:cs="Arial"/>
          <w:b/>
          <w:iCs/>
          <w:sz w:val="20"/>
          <w:szCs w:val="20"/>
        </w:rPr>
        <w:t>0</w:t>
      </w:r>
      <w:r w:rsidR="006E6681">
        <w:rPr>
          <w:rFonts w:eastAsia="Times New Roman" w:cs="Arial"/>
          <w:b/>
          <w:iCs/>
          <w:sz w:val="20"/>
          <w:szCs w:val="20"/>
        </w:rPr>
        <w:t>4</w:t>
      </w:r>
      <w:r w:rsidR="001C2A4D">
        <w:rPr>
          <w:rFonts w:eastAsia="Times New Roman" w:cs="Arial"/>
          <w:b/>
          <w:iCs/>
          <w:sz w:val="20"/>
          <w:szCs w:val="20"/>
        </w:rPr>
        <w:t>/</w:t>
      </w:r>
      <w:r w:rsidR="006E6681">
        <w:rPr>
          <w:rFonts w:eastAsia="Times New Roman" w:cs="Arial"/>
          <w:b/>
          <w:iCs/>
          <w:sz w:val="20"/>
          <w:szCs w:val="20"/>
        </w:rPr>
        <w:t>12</w:t>
      </w:r>
      <w:r w:rsidR="00FB7BD2" w:rsidRPr="003D6794">
        <w:rPr>
          <w:rFonts w:eastAsia="Times New Roman" w:cs="Arial"/>
          <w:b/>
          <w:iCs/>
          <w:sz w:val="20"/>
          <w:szCs w:val="20"/>
        </w:rPr>
        <w:t>/2025</w:t>
      </w:r>
      <w:r w:rsidR="00FB7BD2" w:rsidRPr="003D6794">
        <w:rPr>
          <w:rFonts w:eastAsia="Times New Roman" w:cs="Arial"/>
          <w:iCs/>
          <w:sz w:val="20"/>
          <w:szCs w:val="20"/>
        </w:rPr>
        <w:t xml:space="preserve"> : Equipements spécifiques pour paquetages de survie au profit de la division 3S de l’atelier industriel de l’aéronautique d’Ambérieu en Bugey.</w:t>
      </w:r>
    </w:p>
    <w:p w:rsidR="0042484E" w:rsidRPr="0042484E" w:rsidRDefault="0042484E" w:rsidP="0042484E">
      <w:pPr>
        <w:pStyle w:val="Corpsdetexte"/>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C82C1C" w:rsidRDefault="00C82C1C">
      <w:pPr>
        <w:jc w:val="both"/>
        <w:rPr>
          <w:rFonts w:ascii="Arial" w:hAnsi="Arial" w:cs="Arial"/>
          <w:b/>
          <w:bCs/>
        </w:rPr>
      </w:pPr>
    </w:p>
    <w:p w:rsidR="00C82C1C" w:rsidRDefault="00C82C1C">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lastRenderedPageBreak/>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1"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1"/>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2" w:name="__Fieldmark__34_1319246108"/>
    <w:p w:rsidR="008B6A2D"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2"/>
      <w:r>
        <w:rPr>
          <w:rFonts w:ascii="Arial" w:hAnsi="Arial" w:cs="Arial"/>
          <w:bCs/>
        </w:rPr>
        <w:t xml:space="preserve"> </w:t>
      </w:r>
      <w:r>
        <w:rPr>
          <w:rFonts w:ascii="Arial" w:hAnsi="Arial" w:cs="Arial"/>
        </w:rPr>
        <w:t>Non.</w:t>
      </w:r>
    </w:p>
    <w:p w:rsidR="008B6A2D" w:rsidRPr="008B6A2D" w:rsidRDefault="008B6A2D" w:rsidP="008B6A2D"/>
    <w:p w:rsidR="008B6A2D" w:rsidRPr="008B6A2D" w:rsidRDefault="008B6A2D" w:rsidP="008B6A2D"/>
    <w:p w:rsidR="00643B49" w:rsidRPr="008B6A2D" w:rsidRDefault="008B6A2D" w:rsidP="008B6A2D">
      <w:pPr>
        <w:tabs>
          <w:tab w:val="left" w:pos="5823"/>
        </w:tabs>
      </w:pPr>
      <w:r>
        <w:tab/>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330B1C" w:rsidRDefault="00330B1C">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rsidP="00AE0902">
      <w:pPr>
        <w:pStyle w:val="En-tte"/>
        <w:tabs>
          <w:tab w:val="left" w:pos="0"/>
          <w:tab w:val="left" w:pos="2160"/>
        </w:tabs>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Pr="00AE0902" w:rsidRDefault="00643B49" w:rsidP="00AE0902">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rsidP="00AE0902">
      <w:pPr>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4779CD">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AE0902" w:rsidRDefault="00AE0902" w:rsidP="00AE090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Pr="00AE0902" w:rsidRDefault="00643B49" w:rsidP="00AE0902">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rPr>
      </w:pPr>
    </w:p>
    <w:p w:rsidR="00643B49" w:rsidRPr="00AE0902" w:rsidRDefault="00643B49" w:rsidP="00AE0902">
      <w:pPr>
        <w:ind w:left="284"/>
      </w:pPr>
      <w:r>
        <w:rPr>
          <w:rFonts w:ascii="Arial" w:hAnsi="Arial" w:cs="Arial"/>
          <w:sz w:val="16"/>
        </w:rPr>
        <w:t>- Renseigneme</w:t>
      </w:r>
      <w:r w:rsidR="00AE0902">
        <w:rPr>
          <w:rFonts w:ascii="Arial" w:hAnsi="Arial" w:cs="Arial"/>
          <w:sz w:val="16"/>
        </w:rPr>
        <w:t xml:space="preserve">nts nécessaires pour y accéder </w:t>
      </w: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831AD6" w:rsidRPr="00831AD6" w:rsidRDefault="00FB7BD2" w:rsidP="00F17519">
          <w:pPr>
            <w:shd w:val="clear" w:color="auto" w:fill="66CCFF"/>
            <w:snapToGrid w:val="0"/>
            <w:jc w:val="center"/>
            <w:rPr>
              <w:rFonts w:ascii="Arial" w:hAnsi="Arial" w:cs="Arial"/>
              <w:b/>
              <w:i/>
              <w:iCs/>
            </w:rPr>
          </w:pPr>
          <w:r>
            <w:rPr>
              <w:rFonts w:ascii="Arial" w:hAnsi="Arial" w:cs="Arial"/>
              <w:b/>
              <w:i/>
              <w:iCs/>
            </w:rPr>
            <w:t>LISTE 5206-2025-</w:t>
          </w:r>
          <w:r w:rsidR="00F17519">
            <w:rPr>
              <w:rFonts w:ascii="Arial" w:hAnsi="Arial" w:cs="Arial"/>
              <w:b/>
              <w:i/>
              <w:iCs/>
            </w:rPr>
            <w:t>07</w:t>
          </w:r>
          <w:r>
            <w:rPr>
              <w:rFonts w:ascii="Arial" w:hAnsi="Arial" w:cs="Arial"/>
              <w:b/>
              <w:i/>
              <w:iCs/>
            </w:rPr>
            <w:t xml:space="preserve"> du </w:t>
          </w:r>
          <w:r w:rsidR="001C2A4D">
            <w:rPr>
              <w:rFonts w:ascii="Arial" w:hAnsi="Arial" w:cs="Arial"/>
              <w:b/>
              <w:i/>
              <w:iCs/>
            </w:rPr>
            <w:t>0</w:t>
          </w:r>
          <w:r w:rsidR="00F17519">
            <w:rPr>
              <w:rFonts w:ascii="Arial" w:hAnsi="Arial" w:cs="Arial"/>
              <w:b/>
              <w:i/>
              <w:iCs/>
            </w:rPr>
            <w:t>4</w:t>
          </w:r>
          <w:r w:rsidR="0037761D">
            <w:rPr>
              <w:rFonts w:ascii="Arial" w:hAnsi="Arial" w:cs="Arial"/>
              <w:b/>
              <w:i/>
              <w:iCs/>
            </w:rPr>
            <w:t>/</w:t>
          </w:r>
          <w:r w:rsidR="00F17519">
            <w:rPr>
              <w:rFonts w:ascii="Arial" w:hAnsi="Arial" w:cs="Arial"/>
              <w:b/>
              <w:i/>
              <w:iCs/>
            </w:rPr>
            <w:t>12</w:t>
          </w:r>
          <w:r w:rsidR="00C82C1C">
            <w:rPr>
              <w:rFonts w:ascii="Arial" w:hAnsi="Arial" w:cs="Arial"/>
              <w:b/>
              <w:i/>
              <w:iCs/>
            </w:rPr>
            <w:t>/</w:t>
          </w:r>
          <w:r>
            <w:rPr>
              <w:rFonts w:ascii="Arial" w:hAnsi="Arial" w:cs="Arial"/>
              <w:b/>
              <w:i/>
              <w:iCs/>
            </w:rPr>
            <w:t>2025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779CD">
            <w:rPr>
              <w:rStyle w:val="Numrodepage"/>
              <w:rFonts w:cs="Arial"/>
              <w:b/>
              <w:noProof/>
            </w:rPr>
            <w:t>7</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4779CD">
            <w:rPr>
              <w:rStyle w:val="Numrodepage"/>
              <w:rFonts w:cs="Arial"/>
              <w:b/>
              <w:noProof/>
            </w:rPr>
            <w:t>7</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abstractNum w:abstractNumId="2" w15:restartNumberingAfterBreak="0">
    <w:nsid w:val="308F1BB3"/>
    <w:multiLevelType w:val="hybridMultilevel"/>
    <w:tmpl w:val="554CA560"/>
    <w:lvl w:ilvl="0" w:tplc="6CA0D44A">
      <w:start w:val="3"/>
      <w:numFmt w:val="bullet"/>
      <w:lvlText w:val="-"/>
      <w:lvlJc w:val="left"/>
      <w:pPr>
        <w:ind w:left="720" w:hanging="360"/>
      </w:pPr>
      <w:rPr>
        <w:rFont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B388F"/>
    <w:rsid w:val="0017339E"/>
    <w:rsid w:val="001737A9"/>
    <w:rsid w:val="001A0BAC"/>
    <w:rsid w:val="001C2A4D"/>
    <w:rsid w:val="00235927"/>
    <w:rsid w:val="00330B1C"/>
    <w:rsid w:val="0037745B"/>
    <w:rsid w:val="0037761D"/>
    <w:rsid w:val="00380B9E"/>
    <w:rsid w:val="00384A8C"/>
    <w:rsid w:val="003D6794"/>
    <w:rsid w:val="00412C04"/>
    <w:rsid w:val="0042484E"/>
    <w:rsid w:val="00452FC6"/>
    <w:rsid w:val="00470635"/>
    <w:rsid w:val="00474383"/>
    <w:rsid w:val="004779CD"/>
    <w:rsid w:val="00597A28"/>
    <w:rsid w:val="00641092"/>
    <w:rsid w:val="00643B49"/>
    <w:rsid w:val="00673F82"/>
    <w:rsid w:val="006E6681"/>
    <w:rsid w:val="007151AE"/>
    <w:rsid w:val="00721E89"/>
    <w:rsid w:val="00724D95"/>
    <w:rsid w:val="00732621"/>
    <w:rsid w:val="0075561F"/>
    <w:rsid w:val="0076094B"/>
    <w:rsid w:val="007621C1"/>
    <w:rsid w:val="007B2A9D"/>
    <w:rsid w:val="007F0DF6"/>
    <w:rsid w:val="00831AD6"/>
    <w:rsid w:val="008B6A2D"/>
    <w:rsid w:val="00960EF9"/>
    <w:rsid w:val="00992090"/>
    <w:rsid w:val="009B2C7D"/>
    <w:rsid w:val="00A147C1"/>
    <w:rsid w:val="00AE0902"/>
    <w:rsid w:val="00B9279F"/>
    <w:rsid w:val="00B94B95"/>
    <w:rsid w:val="00C17BB4"/>
    <w:rsid w:val="00C22784"/>
    <w:rsid w:val="00C82C1C"/>
    <w:rsid w:val="00D00259"/>
    <w:rsid w:val="00D3205A"/>
    <w:rsid w:val="00D35CD5"/>
    <w:rsid w:val="00D974EC"/>
    <w:rsid w:val="00DC2F5D"/>
    <w:rsid w:val="00EB7343"/>
    <w:rsid w:val="00F04964"/>
    <w:rsid w:val="00F17519"/>
    <w:rsid w:val="00FB7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4:docId w14:val="269584BD"/>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styleId="Paragraphedeliste">
    <w:name w:val="List Paragraph"/>
    <w:basedOn w:val="Normal"/>
    <w:uiPriority w:val="34"/>
    <w:qFormat/>
    <w:rsid w:val="009B2C7D"/>
    <w:pPr>
      <w:suppressAutoHyphens w:val="0"/>
      <w:ind w:left="720"/>
      <w:contextualSpacing/>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9833A-10EE-4509-894D-9A688AAB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7</Pages>
  <Words>3533</Words>
  <Characters>19434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22922</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FALLOT Sonia</cp:lastModifiedBy>
  <cp:revision>43</cp:revision>
  <cp:lastPrinted>2025-12-10T10:32:00Z</cp:lastPrinted>
  <dcterms:created xsi:type="dcterms:W3CDTF">2019-08-19T08:40:00Z</dcterms:created>
  <dcterms:modified xsi:type="dcterms:W3CDTF">2025-12-10T12:17:00Z</dcterms:modified>
</cp:coreProperties>
</file>